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26-323</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APPEALS, AND LICENSING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 553</w:t>
      </w:r>
    </w:p>
    <w:p>
      <w:pPr>
        <w:spacing w:before="0" w:after="0" w:line="480"/>
        <w:ind w:left="120"/>
        <w:jc w:val="center"/>
      </w:pPr>
      <w:r>
        <w:rPr>
          <w:rFonts w:ascii="Times New Roman" w:hAnsi="Times New Roman"/>
          <w:b w:val="false"/>
          <w:i w:val="false"/>
          <w:color w:val="000000"/>
          <w:sz w:val="24"/>
        </w:rPr>
        <w:t>“Controlled and Precursor Substances”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124.201</w:t>
      </w:r>
    </w:p>
    <w:p>
      <w:pPr>
        <w:spacing w:before="0" w:after="0" w:line="480"/>
        <w:ind w:left="120"/>
        <w:jc w:val="both"/>
      </w:pPr>
      <w:r>
        <w:rPr>
          <w:rFonts w:ascii="Times New Roman" w:hAnsi="Times New Roman"/>
          <w:b w:val="false"/>
          <w:i w:val="false"/>
          <w:color w:val="000000"/>
          <w:sz w:val="24"/>
        </w:rPr>
        <w:t>State or federal law(s) implemented by the rulemaking: Iowa Code section 124.201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w:t>
            </w:r>
          </w:p>
        </w:tc>
      </w:tr>
    </w:tbl>
    <w:p>
      <w:pPr>
        <w:pBdr>
          <w:top w:space="5"/>
        </w:pBdr>
        <w:spacing w:before="0" w:after="0" w:line="480"/>
        <w:ind w:left="120"/>
        <w:jc w:val="both"/>
      </w:pPr>
      <w:r>
        <w:rPr>
          <w:rFonts w:ascii="Times New Roman" w:hAnsi="Times New Roman"/>
          <w:b w:val="false"/>
          <w:i w:val="false"/>
          <w:color w:val="000000"/>
          <w:sz w:val="24"/>
        </w:rPr>
        <w:t>    Virtual participation for the public hearing will be available on the Department of Inspections, Appeals, and Licensing website.</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Board of Pharmacy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Jeremiah Junker</w:t>
            </w:r>
            <w:r>
              <w:br/>
            </w:r>
            <w:r>
              <w:rPr>
                <w:rFonts w:ascii="Times New Roman" w:hAnsi="Times New Roman"/>
                <w:b w:val="false"/>
                <w:i w:val="false"/>
                <w:color w:val="000000"/>
                <w:sz w:val="14"/>
              </w:rPr>
              <w:t>Iowa Board of Pharmacy</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jeremiah.junker@dia.iowa.gov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add 20 substances to Schedule I, one substance to Schedule IV, and three substances to the list of precursor substances in the Iowa controlled substances Act (CSA) in response to similar scheduling action taken by the federal Drug Enforcement Administration. This proposed rulemaking would temporarily add marijuana and delta-9-tetrahydrocannabinols, which are components of an FDA-approved product or subject to the State’s medical cannabidiol Act, to Schedule III of the Iowa CSA in response to similar action by the federal Drug Enforcement Administration.</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For Schedule I substances, law enforcement and the Department of Public Safety will bear the cost of enforcement to ensure these illicit substances are removed from the public to prevent public harm from exposure. For precursor substances, entities that engage in the utilization of these substances will bear the cost of the reporting requirements of such substances.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For Schedule I substances, Iowa residents will benefit from the removal of these illicit substances or prosecution for the distribution of these illicit substances. For precursor substances, Iowa residents will benefit from the removal of these substances for illicit purposes.</w:t>
      </w:r>
    </w:p>
    <w:p>
      <w:pPr>
        <w:spacing w:before="0" w:after="0" w:line="480"/>
        <w:ind w:left="120"/>
        <w:jc w:val="both"/>
      </w:pPr>
      <w:r>
        <w:rPr>
          <w:rFonts w:ascii="Times New Roman" w:hAnsi="Times New Roman"/>
          <w:b w:val="false"/>
          <w:i w:val="false"/>
          <w:color w:val="000000"/>
          <w:sz w:val="24"/>
        </w:rPr>
        <w:t>Iowa residents who currently hold medical cannabidiol program certifications will benefit due to the deregulation of medical cannabis products from federal Schedule I to Schedule III, recognizing the approved medical use and relieving the threat of federal law enforcement action for legitimate use.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 quantitative impact is variable and unknown but is likely to be minimal as all entities impacted would already have processes and systems in place to comply with State and federal laws and regulations relating to the handling of controlled substances.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on public health and safety. The addition of illicit substances that have no medicinal value and are likely to be addictive allows law enforcement and the Department of Public Safety to remove such substances from the public and prevent exposure and likely harm from such exposure.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 of implementation and enforcement by this Board or the Department of Public Safety is negligible as no new processes are needed.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minimal anticipated impact to State revenues by way of Iowa CSA registration application fees from State-licensed medical cannabidiol manufacturers and dispensers.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As noted above, the costs are negligible, but the cost of inaction would likely increase exposure and result in public harm from illicit substances.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There are no identified methods that are less costly or less intrusive.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There were no alternative methods identified.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As noted above, the cost and impact of the addition of substances does not outweigh the benefit to the public or the likely harm to public health and safety from inaction.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While not specifically identified in this proposed rulemaking, any registrant would be authorized to petition the Board for a waiver of Board rules that are not required by the Iowa Code (in accordance with 481—Chapter 6). This opportunity is available to any business entity regardless of its size. A petition for waiver of one or more Board rules would include information that would demonstrate how the petitioner would continue to protect the public by alternate means if the rule is waived, in whole or in part.</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val="false"/>
          <w:i w:val="false"/>
          <w:color w:val="000000"/>
          <w:sz w:val="24"/>
        </w:rPr>
        <w:t>481—553.13(124,124B)</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rule in lieu thereof:</w:t>
      </w:r>
    </w:p>
    <w:p>
      <w:pPr>
        <w:spacing w:before="0" w:after="0" w:line="480"/>
        <w:ind w:left="120"/>
        <w:jc w:val="both"/>
      </w:pPr>
      <w:r>
        <w:rPr>
          <w:rFonts w:ascii="Times New Roman" w:hAnsi="Times New Roman"/>
          <w:b/>
          <w:i w:val="false"/>
          <w:color w:val="000000"/>
          <w:sz w:val="24"/>
        </w:rPr>
        <w:t>481—553.13</w:t>
      </w:r>
      <w:r>
        <w:rPr>
          <w:rFonts w:ascii="Times New Roman" w:hAnsi="Times New Roman"/>
          <w:b/>
          <w:i w:val="false"/>
          <w:color w:val="000000"/>
          <w:sz w:val="24"/>
        </w:rPr>
        <w:t xml:space="preserve">(124,124B) </w:t>
      </w:r>
      <w:r>
        <w:rPr>
          <w:rFonts w:ascii="Times New Roman" w:hAnsi="Times New Roman"/>
          <w:b/>
          <w:i w:val="false"/>
          <w:color w:val="000000"/>
          <w:sz w:val="24"/>
        </w:rPr>
        <w:t xml:space="preserve">Temporary designation of controlled and precursor substances.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553.13(1)</w:t>
      </w:r>
      <w:r>
        <w:rPr>
          <w:rFonts w:ascii="Times New Roman" w:hAnsi="Times New Roman"/>
          <w:b w:val="false"/>
          <w:i w:val="false"/>
          <w:color w:val="000000"/>
          <w:sz w:val="24"/>
        </w:rPr>
        <w:t> </w:t>
      </w:r>
      <w:r>
        <w:rPr>
          <w:rFonts w:ascii="Times New Roman" w:hAnsi="Times New Roman"/>
          <w:b w:val="false"/>
          <w:i w:val="false"/>
          <w:color w:val="000000"/>
          <w:sz w:val="24"/>
        </w:rPr>
        <w:t xml:space="preserve">For cannabis-derived products, the board will modify the schedule of controlled substances in accordance with Iowa Code section </w:t>
      </w:r>
      <w:hyperlink r:id="rId5">
        <w:r>
          <w:rPr>
            <w:rStyle w:val="Hyperlink"/>
            <w:rFonts w:ascii="Times New Roman" w:hAnsi="Times New Roman"/>
            <w:b w:val="false"/>
            <w:i w:val="false"/>
            <w:color w:val="000000"/>
            <w:sz w:val="24"/>
          </w:rPr>
          <w:t>124.201A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553.13(2)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Iowa Code section </w:t>
      </w:r>
      <w:hyperlink r:id="rId6">
        <w:r>
          <w:rPr>
            <w:rStyle w:val="Hyperlink"/>
            <w:rFonts w:ascii="Times New Roman" w:hAnsi="Times New Roman"/>
            <w:b w:val="false"/>
            <w:i w:val="false"/>
            <w:color w:val="000000"/>
            <w:sz w:val="24"/>
          </w:rPr>
          <w:t>124.204(4)</w:t>
        </w:r>
      </w:hyperlink>
      <w:r>
        <w:rPr>
          <w:rFonts w:ascii="Times New Roman" w:hAnsi="Times New Roman"/>
          <w:b w:val="false"/>
          <w:i w:val="false"/>
          <w:color w:val="000000"/>
          <w:sz w:val="24"/>
        </w:rPr>
        <w:t xml:space="preserve"> by adding the following new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w:t>
      </w:r>
      <w:r>
        <w:rPr>
          <w:rFonts w:ascii="Times New Roman" w:hAnsi="Times New Roman"/>
          <w:b w:val="false"/>
          <w:i w:val="false"/>
          <w:color w:val="000000"/>
          <w:sz w:val="24"/>
        </w:rPr>
        <w:t>  </w:t>
      </w:r>
      <w:r>
        <w:rPr>
          <w:rFonts w:ascii="Times New Roman" w:hAnsi="Times New Roman"/>
          <w:b w:val="false"/>
          <w:i w:val="false"/>
          <w:color w:val="000000"/>
          <w:sz w:val="24"/>
        </w:rPr>
        <w:t>1-(4-chlorophenyl)-2-(methylamino)propan-1-one. Other names: 4—CMC, 4-Chloromethcathinone.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cs.</w:t>
      </w:r>
      <w:r>
        <w:rPr>
          <w:rFonts w:ascii="Times New Roman" w:hAnsi="Times New Roman"/>
          <w:b w:val="false"/>
          <w:i w:val="false"/>
          <w:color w:val="000000"/>
          <w:sz w:val="24"/>
        </w:rPr>
        <w:t>  </w:t>
      </w:r>
      <w:r>
        <w:rPr>
          <w:rFonts w:ascii="Times New Roman" w:hAnsi="Times New Roman"/>
          <w:b w:val="false"/>
          <w:i w:val="false"/>
          <w:color w:val="000000"/>
          <w:sz w:val="24"/>
        </w:rPr>
        <w:t>3-methoxyphencyclidine. Other names: 1-(1-(3-methoxyphenyl)cyclohexyl)piperidine; 3-MeO—PCP.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553.13(3)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Iowa Code section </w:t>
      </w:r>
      <w:hyperlink r:id="rId7">
        <w:r>
          <w:rPr>
            <w:rStyle w:val="Hyperlink"/>
            <w:rFonts w:ascii="Times New Roman" w:hAnsi="Times New Roman"/>
            <w:b w:val="false"/>
            <w:i w:val="false"/>
            <w:color w:val="000000"/>
            <w:sz w:val="24"/>
          </w:rPr>
          <w:t>124.204(9)</w:t>
        </w:r>
      </w:hyperlink>
      <w:r>
        <w:rPr>
          <w:rFonts w:ascii="Times New Roman" w:hAnsi="Times New Roman"/>
          <w:b w:val="false"/>
          <w:i w:val="false"/>
          <w:color w:val="000000"/>
          <w:sz w:val="24"/>
        </w:rPr>
        <w:t xml:space="preserve"> by adding the following new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2-(2-((2,3-dihydrobenzofuran-5-yl)methyl)-5-nitro-1H-benzimidazol-1-yl)-N,N-diethylethan-1-amine, its isomers, esters, ethers, salts, and salts of isomers, esters and ethers. Other name: Ethyleneoxynitazene.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 xml:space="preserve">2-(2-(benzodioxol-5-ylmethyl)-5-nitro-1H-benzimidazol-1-yl)-N,N-diethylethan-1-amine, its isomers, esters, ethers, salts, and salts of isomers, esters and ethers. Other names: Methylenedioxynitazene; 3',4'-methylenedioxynitazene.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2-(2-(4-ethoxybenzyl)-5-methyl-1H-benzimidazol-1-yl)-N,N-diethylethan-1-amine, its isomers, esters, ethers, salts, and salts of isomers, esters and ethers. Other name: 5-methyl etodesnitazene.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val="false"/>
          <w:color w:val="000000"/>
          <w:sz w:val="24"/>
        </w:rPr>
        <w:t>2-(2-(4-ethoxybenzyl)-5-nitro-1H-benzimidazol-1-yl)-N-ethylethan-1-amine, its isomers, esters, ethers, salts, and salts of isomers, esters and ethers. Other name: N-desethyl etonitazene.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val="false"/>
          <w:color w:val="000000"/>
          <w:sz w:val="24"/>
        </w:rPr>
        <w:t>N-ethyl-2-(5-nitro-2-(4-propoxybenzyl)-1H-benzimidazol-1-yl)ethan-1-amine, its isomers, esters, ethers, salts, and salts of isomers, esters and ethers. Other name: N-desethyl protonitazene.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w:t>
      </w:r>
      <w:r>
        <w:rPr>
          <w:rFonts w:ascii="Times New Roman" w:hAnsi="Times New Roman"/>
          <w:b w:val="false"/>
          <w:i w:val="false"/>
          <w:color w:val="000000"/>
          <w:sz w:val="24"/>
        </w:rPr>
        <w:t>  </w:t>
      </w:r>
      <w:r>
        <w:rPr>
          <w:rFonts w:ascii="Times New Roman" w:hAnsi="Times New Roman"/>
          <w:b w:val="false"/>
          <w:i w:val="false"/>
          <w:color w:val="000000"/>
          <w:sz w:val="24"/>
        </w:rPr>
        <w:t>2-(2-(4-ethoxybenzyl)-5-nitro-1H-benzimidazol-1-yl)-N,N-dimethylethan-1-amine,  its isomers, esters, ethers, salts, and salts of isomers, esters and ethers. Other name: N,N-dimethylamino etonitazene.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w:t>
      </w:r>
      <w:r>
        <w:rPr>
          <w:rFonts w:ascii="Times New Roman" w:hAnsi="Times New Roman"/>
          <w:b w:val="false"/>
          <w:i w:val="false"/>
          <w:color w:val="000000"/>
          <w:sz w:val="24"/>
        </w:rPr>
        <w:t>  </w:t>
      </w:r>
      <w:r>
        <w:rPr>
          <w:rFonts w:ascii="Times New Roman" w:hAnsi="Times New Roman"/>
          <w:b w:val="false"/>
          <w:i w:val="false"/>
          <w:color w:val="000000"/>
          <w:sz w:val="24"/>
        </w:rPr>
        <w:t xml:space="preserve">2-(4-isopropoxybenzyl)-5-nitro-1-(2-(pyrrolidin-1-yl)ethyl)-1H-benzimidazole, its isomers, esters, ethers, salts, and salts of isomers, esters and ethers. Other name: N-pyrrolidino isotonitazene.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w:t>
      </w:r>
      <w:r>
        <w:rPr>
          <w:rFonts w:ascii="Times New Roman" w:hAnsi="Times New Roman"/>
          <w:b w:val="false"/>
          <w:i w:val="false"/>
          <w:color w:val="000000"/>
          <w:sz w:val="24"/>
        </w:rPr>
        <w:t>  </w:t>
      </w:r>
      <w:r>
        <w:rPr>
          <w:rFonts w:ascii="Times New Roman" w:hAnsi="Times New Roman"/>
          <w:b w:val="false"/>
          <w:i w:val="false"/>
          <w:color w:val="000000"/>
          <w:sz w:val="24"/>
        </w:rPr>
        <w:t>8-bromo-1-methyl-6-phenyl-4H-benzo[f][1,2,4]triazolo[4,3-a][1,4]diazepine, its salts, isomers, and salts of isomers. Other name: bromazolam.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w:t>
      </w:r>
      <w:r>
        <w:rPr>
          <w:rFonts w:ascii="Times New Roman" w:hAnsi="Times New Roman"/>
          <w:b w:val="false"/>
          <w:i w:val="false"/>
          <w:color w:val="000000"/>
          <w:sz w:val="24"/>
        </w:rPr>
        <w:t>  </w:t>
      </w:r>
      <w:r>
        <w:rPr>
          <w:rFonts w:ascii="Times New Roman" w:hAnsi="Times New Roman"/>
          <w:b w:val="false"/>
          <w:i w:val="false"/>
          <w:color w:val="000000"/>
          <w:sz w:val="24"/>
        </w:rPr>
        <w:t>2-Fluorodeschloroketamine, its salts, isomers, and salts of isomers. Other names: 2-(2-fluorophenyl)-2-(methylamino)cyclohexan-1-one, 2-FDCK.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ah.</w:t>
      </w:r>
      <w:r>
        <w:rPr>
          <w:rFonts w:ascii="Times New Roman" w:hAnsi="Times New Roman"/>
          <w:b w:val="false"/>
          <w:i w:val="false"/>
          <w:color w:val="000000"/>
          <w:sz w:val="24"/>
        </w:rPr>
        <w:t>  </w:t>
      </w:r>
      <w:r>
        <w:rPr>
          <w:rFonts w:ascii="Times New Roman" w:hAnsi="Times New Roman"/>
          <w:b w:val="false"/>
          <w:i w:val="false"/>
          <w:color w:val="000000"/>
          <w:sz w:val="24"/>
        </w:rPr>
        <w:t>O-Desmethyltramadol. Other names: O-DSMT; desmetramadol; 3-[(1R,2R)-2-[(dimethylamino)methyl]-1-hydroxycyclohexyl]phenol.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w:t>
      </w:r>
      <w:r>
        <w:rPr>
          <w:rFonts w:ascii="Times New Roman" w:hAnsi="Times New Roman"/>
          <w:b w:val="false"/>
          <w:i w:val="false"/>
          <w:color w:val="000000"/>
          <w:sz w:val="24"/>
        </w:rPr>
        <w:t>  </w:t>
      </w:r>
      <w:r>
        <w:rPr>
          <w:rFonts w:ascii="Times New Roman" w:hAnsi="Times New Roman"/>
          <w:b w:val="false"/>
          <w:i w:val="false"/>
          <w:color w:val="000000"/>
          <w:sz w:val="24"/>
        </w:rPr>
        <w:t>Methyl (E)-2-((1'S,6'S,7'S)-6'-ethyl-4-methoxy-3-oxo-3',5',6',7',8',8a'-hexahydro-2'H-spiro[indoline-2,1'-indolizine]-7'-yl)-3-methoxyacrylate including its isomers, esters, ethers, salts, and salts of isomers, esters, and ethers, whenever the existence of such isomers, esters, ethers, and salts is possible. Other name: mitragynine pseudoindoxyl. Since nomenclature of this substance is not internationally standardized, compounds of this structure, regardless of numerical designation of atomic positions,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aj.</w:t>
      </w:r>
      <w:r>
        <w:rPr>
          <w:rFonts w:ascii="Times New Roman" w:hAnsi="Times New Roman"/>
          <w:b w:val="false"/>
          <w:i w:val="false"/>
          <w:color w:val="000000"/>
          <w:sz w:val="24"/>
        </w:rPr>
        <w:t>  </w:t>
      </w:r>
      <w:r>
        <w:rPr>
          <w:rFonts w:ascii="Times New Roman" w:hAnsi="Times New Roman"/>
          <w:b w:val="false"/>
          <w:i w:val="false"/>
          <w:color w:val="000000"/>
          <w:sz w:val="24"/>
        </w:rPr>
        <w:t>Methyl (E)-2-((2S,3S,7aS,12aR,12bS)-3-ethyl-7a-hydroxy-8-methoxy-1,2,3,4,6,7,7a,12,12a,12b-decahydroindolo[2,3-a]quinolizin-2-yl)-3-methoxyacrylate including its isomers, esters, ethers, salts, and salts of isomers, esters, and ethers, whenever the existence of such isomers, esters, ethers, and salts is possible. Other names: MGM—15; dihydro-7-hydroxymitragynine. Since nomenclature of this substance is not internationally standardized, compounds of this structure, regardless of numerical designation of atomic positions,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ak.</w:t>
      </w:r>
      <w:r>
        <w:rPr>
          <w:rFonts w:ascii="Times New Roman" w:hAnsi="Times New Roman"/>
          <w:b w:val="false"/>
          <w:i w:val="false"/>
          <w:color w:val="000000"/>
          <w:sz w:val="24"/>
        </w:rPr>
        <w:t>  </w:t>
      </w:r>
      <w:r>
        <w:rPr>
          <w:rFonts w:ascii="Times New Roman" w:hAnsi="Times New Roman"/>
          <w:b w:val="false"/>
          <w:i w:val="false"/>
          <w:color w:val="000000"/>
          <w:sz w:val="24"/>
        </w:rPr>
        <w:t>Methyl (E)-2-((2S,3S,7aS,12aR,12bS)-3-ethyl-9-fluoro-7a-hydroxy-8- methoxy-1,2,3,4,6,7,7a,12,12a,12b-decahydroindolo[2,3-a]quinolizin-2-yl)-3-methoxyacrylate including its isomers, esters, ethers, salts, and salts of isomers, esters, and ethers, whenever the existence of such isomers, esters, eithers, and salts is possible. Other names: MGM—16; 9-fluoro-dihydro-7-hydroxymitragynine; 10-fluoro-dihydro-7-hydroxymitragynine (depending on numbering convention). Since nomenclature of this substance is not internationally standardized, compounds of this structure, regardless of numerical designation of atomic positions,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w:t>
      </w:r>
      <w:r>
        <w:rPr>
          <w:rFonts w:ascii="Times New Roman" w:hAnsi="Times New Roman"/>
          <w:b w:val="false"/>
          <w:i w:val="false"/>
          <w:color w:val="000000"/>
          <w:sz w:val="24"/>
        </w:rPr>
        <w:t>  </w:t>
      </w:r>
      <w:r>
        <w:rPr>
          <w:rFonts w:ascii="Times New Roman" w:hAnsi="Times New Roman"/>
          <w:b w:val="false"/>
          <w:i w:val="false"/>
          <w:color w:val="000000"/>
          <w:sz w:val="24"/>
        </w:rPr>
        <w:t xml:space="preserve">1-(1-(1-(4-bromophenyl)ethyl)piperidin-4-yl)-5,6-dichloro-1,3-dihydro-2H-benzo[d]imidazol-2-one, its isomers, esters, ethers, salts, and salts of isomers, esters, and ethers. Other names: 5,6-dichloro brorphine; SR—14968.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w:t>
      </w:r>
      <w:r>
        <w:rPr>
          <w:rFonts w:ascii="Times New Roman" w:hAnsi="Times New Roman"/>
          <w:b w:val="false"/>
          <w:i w:val="false"/>
          <w:color w:val="000000"/>
          <w:sz w:val="24"/>
        </w:rPr>
        <w:t>  </w:t>
      </w:r>
      <w:r>
        <w:rPr>
          <w:rFonts w:ascii="Times New Roman" w:hAnsi="Times New Roman"/>
          <w:b w:val="false"/>
          <w:i w:val="false"/>
          <w:color w:val="000000"/>
          <w:sz w:val="24"/>
        </w:rPr>
        <w:t>5,6-dichloro-1-(1-(4-chlorobenzyl)piperidin-4-yl)-1,3-dihydro-2H-benzo[d]imidazol-2-one, its isomers, esters, ethers, salts, and salts of isomers, esters, and ethers. Other names: 5,6-dichloro desmethylchlorphine; SR—17018.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an.</w:t>
      </w:r>
      <w:r>
        <w:rPr>
          <w:rFonts w:ascii="Times New Roman" w:hAnsi="Times New Roman"/>
          <w:b w:val="false"/>
          <w:i w:val="false"/>
          <w:color w:val="000000"/>
          <w:sz w:val="24"/>
        </w:rPr>
        <w:t>  </w:t>
      </w:r>
      <w:r>
        <w:rPr>
          <w:rFonts w:ascii="Times New Roman" w:hAnsi="Times New Roman"/>
          <w:b w:val="false"/>
          <w:i w:val="false"/>
          <w:color w:val="000000"/>
          <w:sz w:val="24"/>
        </w:rPr>
        <w:t>3-(3-(1-(1-(4-chlorophenyl)ethyl)piperidin-4-yl)-2-oxo-2,3-dihydro-1H-benzo[d]imidazol-1-yl)propanenitrile, its isomers, esters, ethers, salts, and salts of isomers, esters, and ethers. Other names: N-propionitrile chlorphine; cychlorphine.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ao.</w:t>
      </w:r>
      <w:r>
        <w:rPr>
          <w:rFonts w:ascii="Times New Roman" w:hAnsi="Times New Roman"/>
          <w:b w:val="false"/>
          <w:i w:val="false"/>
          <w:color w:val="000000"/>
          <w:sz w:val="24"/>
        </w:rPr>
        <w:t>  </w:t>
      </w:r>
      <w:r>
        <w:rPr>
          <w:rFonts w:ascii="Times New Roman" w:hAnsi="Times New Roman"/>
          <w:b w:val="false"/>
          <w:i w:val="false"/>
          <w:color w:val="000000"/>
          <w:sz w:val="24"/>
        </w:rPr>
        <w:t>8-(1-(4-chlorophenyl)ethyl)-1-phenyl-1,3,8-triazaspiro[4.5]decan-4-one, its isomers, esters, ethers, salts, and salts of isomers, esters, and ethers. Other names: spirochlorphine; R—6890.</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553.13(4)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Iowa Code section </w:t>
      </w:r>
      <w:hyperlink r:id="rId8">
        <w:r>
          <w:rPr>
            <w:rStyle w:val="Hyperlink"/>
            <w:rFonts w:ascii="Times New Roman" w:hAnsi="Times New Roman"/>
            <w:b w:val="false"/>
            <w:i w:val="false"/>
            <w:color w:val="000000"/>
            <w:sz w:val="24"/>
          </w:rPr>
          <w:t>124B.2(1)</w:t>
        </w:r>
      </w:hyperlink>
      <w:r>
        <w:rPr>
          <w:rFonts w:ascii="Times New Roman" w:hAnsi="Times New Roman"/>
          <w:b w:val="false"/>
          <w:i w:val="false"/>
          <w:color w:val="000000"/>
          <w:sz w:val="24"/>
        </w:rPr>
        <w:t xml:space="preserve"> by adding the following new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ak.</w:t>
      </w:r>
      <w:r>
        <w:rPr>
          <w:rFonts w:ascii="Times New Roman" w:hAnsi="Times New Roman"/>
          <w:b w:val="false"/>
          <w:i w:val="false"/>
          <w:color w:val="000000"/>
          <w:sz w:val="24"/>
        </w:rPr>
        <w:t>  </w:t>
      </w:r>
      <w:r>
        <w:rPr>
          <w:rFonts w:ascii="Times New Roman" w:hAnsi="Times New Roman"/>
          <w:b w:val="false"/>
          <w:i w:val="false"/>
          <w:color w:val="000000"/>
          <w:sz w:val="24"/>
        </w:rPr>
        <w:t>1-boc-4-piperidone (tert-butyl 4-oxopiperidine-1-carboxylate) and its salts.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w:t>
      </w:r>
      <w:r>
        <w:rPr>
          <w:rFonts w:ascii="Times New Roman" w:hAnsi="Times New Roman"/>
          <w:b w:val="false"/>
          <w:i w:val="false"/>
          <w:color w:val="000000"/>
          <w:sz w:val="24"/>
        </w:rPr>
        <w:t>  </w:t>
      </w:r>
      <w:r>
        <w:rPr>
          <w:rFonts w:ascii="Times New Roman" w:hAnsi="Times New Roman"/>
          <w:b w:val="false"/>
          <w:i w:val="false"/>
          <w:color w:val="000000"/>
          <w:sz w:val="24"/>
        </w:rPr>
        <w:t>Propionyl chloride.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w:t>
      </w:r>
      <w:r>
        <w:rPr>
          <w:rFonts w:ascii="Times New Roman" w:hAnsi="Times New Roman"/>
          <w:b w:val="false"/>
          <w:i w:val="false"/>
          <w:color w:val="000000"/>
          <w:sz w:val="24"/>
        </w:rPr>
        <w:t>  </w:t>
      </w:r>
      <w:r>
        <w:rPr>
          <w:rFonts w:ascii="Times New Roman" w:hAnsi="Times New Roman"/>
          <w:b w:val="false"/>
          <w:i w:val="false"/>
          <w:color w:val="000000"/>
          <w:sz w:val="24"/>
        </w:rPr>
        <w:t>P2P methyl glycidic acid (2-methyl-3-phenyloxirane-2-carboxylic acid; BMK glycidic acid) and its esters, its optical and geometric isomers, its salts, salts of its optical and geometric isomers and its esters, and any combination thereof, whenever the existence of such is possible, including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Methyl ester of P2P methyl glycidic acid (methyl 2-methyl-3-phenyloxirane-2-carboxylate; P2P methyl glycidicate; BMK methyl glycidicate).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(ii)</w:t>
      </w:r>
      <w:r>
        <w:rPr>
          <w:rFonts w:ascii="Times New Roman" w:hAnsi="Times New Roman"/>
          <w:b w:val="false"/>
          <w:i w:val="false"/>
          <w:color w:val="000000"/>
          <w:sz w:val="24"/>
        </w:rPr>
        <w:t>  </w:t>
      </w:r>
      <w:r>
        <w:rPr>
          <w:rFonts w:ascii="Times New Roman" w:hAnsi="Times New Roman"/>
          <w:b w:val="false"/>
          <w:i w:val="false"/>
          <w:color w:val="000000"/>
          <w:sz w:val="24"/>
        </w:rPr>
        <w:t>Ethyl ester of P2P methyl glycidic acid (ethyl 2-methyl-3-phenyloxirane-2-carboxylate; P2P ethyl glycidicate; BMK ethyl glycidicate).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(iii)</w:t>
      </w:r>
      <w:r>
        <w:rPr>
          <w:rFonts w:ascii="Times New Roman" w:hAnsi="Times New Roman"/>
          <w:b w:val="false"/>
          <w:i w:val="false"/>
          <w:color w:val="000000"/>
          <w:sz w:val="24"/>
        </w:rPr>
        <w:t>  </w:t>
      </w:r>
      <w:r>
        <w:rPr>
          <w:rFonts w:ascii="Times New Roman" w:hAnsi="Times New Roman"/>
          <w:b w:val="false"/>
          <w:i w:val="false"/>
          <w:color w:val="000000"/>
          <w:sz w:val="24"/>
        </w:rPr>
        <w:t xml:space="preserve">Propyl ester of P2P methyl glycidic acid (propyl 2-methyl-3-phenyloxirane-2-carboxylate; P2P propyl glycidicate; BMK propyl glycidicate).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(iv)</w:t>
      </w:r>
      <w:r>
        <w:rPr>
          <w:rFonts w:ascii="Times New Roman" w:hAnsi="Times New Roman"/>
          <w:b w:val="false"/>
          <w:i w:val="false"/>
          <w:color w:val="000000"/>
          <w:sz w:val="24"/>
        </w:rPr>
        <w:t>  </w:t>
      </w:r>
      <w:r>
        <w:rPr>
          <w:rFonts w:ascii="Times New Roman" w:hAnsi="Times New Roman"/>
          <w:b w:val="false"/>
          <w:i w:val="false"/>
          <w:color w:val="000000"/>
          <w:sz w:val="24"/>
        </w:rPr>
        <w:t>Isopropyl ester of P2P methyl glycidic acid (isopropyl 2-methyl-3-phenyloxirane-2-carboxylate; P2P isopropyl glycidicate; BMK isopropyl glycidicate).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Butyl ester of P2P methyl glycidic acid (butyl 2-methyl-3-phenyloxirane-2-carboxylate; P2P butyl glycidicate; BMK butyl glycidicate).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(vi)</w:t>
      </w:r>
      <w:r>
        <w:rPr>
          <w:rFonts w:ascii="Times New Roman" w:hAnsi="Times New Roman"/>
          <w:b w:val="false"/>
          <w:i w:val="false"/>
          <w:color w:val="000000"/>
          <w:sz w:val="24"/>
        </w:rPr>
        <w:t>  </w:t>
      </w:r>
      <w:r>
        <w:rPr>
          <w:rFonts w:ascii="Times New Roman" w:hAnsi="Times New Roman"/>
          <w:b w:val="false"/>
          <w:i w:val="false"/>
          <w:color w:val="000000"/>
          <w:sz w:val="24"/>
        </w:rPr>
        <w:t xml:space="preserve">Isobutyl ester of P2P methyl glycidic acid (isobutyl 2-methyl-3-phenyloxirane-2-carboxylate; P2P isobutyl glycidicate; BMK isobutyl glycidicate).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(vii)</w:t>
      </w:r>
      <w:r>
        <w:rPr>
          <w:rFonts w:ascii="Times New Roman" w:hAnsi="Times New Roman"/>
          <w:b w:val="false"/>
          <w:i w:val="false"/>
          <w:color w:val="000000"/>
          <w:sz w:val="24"/>
        </w:rPr>
        <w:t>  </w:t>
      </w:r>
      <w:r>
        <w:rPr>
          <w:rFonts w:ascii="Times New Roman" w:hAnsi="Times New Roman"/>
          <w:b w:val="false"/>
          <w:i w:val="false"/>
          <w:color w:val="000000"/>
          <w:sz w:val="24"/>
        </w:rPr>
        <w:t>sec-Butyl ester of P2P methyl glycidic acid (sec-butyl 2-methyl-3-phenyloxirane-2-carboxylate; P2P sec-butyl glycidicate; BMK sec-butyl glycidicate.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(viii)</w:t>
      </w:r>
      <w:r>
        <w:rPr>
          <w:rFonts w:ascii="Times New Roman" w:hAnsi="Times New Roman"/>
          <w:b w:val="false"/>
          <w:i w:val="false"/>
          <w:color w:val="000000"/>
          <w:sz w:val="24"/>
        </w:rPr>
        <w:t>  </w:t>
      </w:r>
      <w:r>
        <w:rPr>
          <w:rFonts w:ascii="Times New Roman" w:hAnsi="Times New Roman"/>
          <w:b w:val="false"/>
          <w:i w:val="false"/>
          <w:color w:val="000000"/>
          <w:sz w:val="24"/>
        </w:rPr>
        <w:t xml:space="preserve">tert-Butyl ester of P2P methyl glycidic acid (tert-butyl 2-methyl-3-phenyloxirane-2-carboxylate; P2P tert-butyl glycidicate; BMK tert-butyl glycidicate.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553.13(5)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Iowa Code section </w:t>
      </w:r>
      <w:hyperlink r:id="rId9">
        <w:r>
          <w:rPr>
            <w:rStyle w:val="Hyperlink"/>
            <w:rFonts w:ascii="Times New Roman" w:hAnsi="Times New Roman"/>
            <w:b w:val="false"/>
            <w:i w:val="false"/>
            <w:color w:val="000000"/>
            <w:sz w:val="24"/>
          </w:rPr>
          <w:t>124.204(6)</w:t>
        </w:r>
      </w:hyperlink>
      <w:r>
        <w:rPr>
          <w:rFonts w:ascii="Times New Roman" w:hAnsi="Times New Roman"/>
          <w:b w:val="false"/>
          <w:i w:val="false"/>
          <w:color w:val="000000"/>
          <w:sz w:val="24"/>
        </w:rPr>
        <w:t xml:space="preserve"> by adding the following new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1-(4-fluorophenyl)propan-2-amine. Other names: para-fluoroamphetamine, 4—FA, 4-Fluoroamphetamine.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553.13(6)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Iowa Code section </w:t>
      </w:r>
      <w:hyperlink r:id="rId10">
        <w:r>
          <w:rPr>
            <w:rStyle w:val="Hyperlink"/>
            <w:rFonts w:ascii="Times New Roman" w:hAnsi="Times New Roman"/>
            <w:b w:val="false"/>
            <w:i w:val="false"/>
            <w:color w:val="000000"/>
            <w:sz w:val="24"/>
          </w:rPr>
          <w:t>124.208(9)</w:t>
        </w:r>
      </w:hyperlink>
      <w:r>
        <w:rPr>
          <w:rFonts w:ascii="Times New Roman" w:hAnsi="Times New Roman"/>
          <w:b w:val="false"/>
          <w:i w:val="false"/>
          <w:color w:val="000000"/>
          <w:sz w:val="24"/>
        </w:rPr>
        <w:t xml:space="preserve"> by adding the following new paragraphs: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Marijuana, as defined in Iowa Code section </w:t>
      </w:r>
      <w:hyperlink r:id="rId11">
        <w:r>
          <w:rPr>
            <w:rStyle w:val="Hyperlink"/>
            <w:rFonts w:ascii="Times New Roman" w:hAnsi="Times New Roman"/>
            <w:b w:val="false"/>
            <w:i w:val="false"/>
            <w:color w:val="000000"/>
            <w:sz w:val="24"/>
          </w:rPr>
          <w:t>124.101(20)</w:t>
        </w:r>
      </w:hyperlink>
      <w:r>
        <w:rPr>
          <w:rFonts w:ascii="Times New Roman" w:hAnsi="Times New Roman"/>
          <w:b w:val="false"/>
          <w:i w:val="false"/>
          <w:color w:val="000000"/>
          <w:sz w:val="24"/>
        </w:rPr>
        <w:t xml:space="preserve">, in a U.S. Food and Drug Administration-approved product or subject to a state medical marijuana license in accordance with Iowa Code chapter </w:t>
      </w:r>
      <w:hyperlink r:id="rId12">
        <w:r>
          <w:rPr>
            <w:rStyle w:val="Hyperlink"/>
            <w:rFonts w:ascii="Times New Roman" w:hAnsi="Times New Roman"/>
            <w:b w:val="false"/>
            <w:i w:val="false"/>
            <w:color w:val="000000"/>
            <w:sz w:val="24"/>
          </w:rPr>
          <w:t>124E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Marijuana extract, as defined in 21 CFR 1308.11(d), in a U.S. Food and Drug Administration-approved product or subject to a state medical marijuana license in accordance with Iowa Code chapter </w:t>
      </w:r>
      <w:hyperlink r:id="rId13">
        <w:r>
          <w:rPr>
            <w:rStyle w:val="Hyperlink"/>
            <w:rFonts w:ascii="Times New Roman" w:hAnsi="Times New Roman"/>
            <w:b w:val="false"/>
            <w:i w:val="false"/>
            <w:color w:val="000000"/>
            <w:sz w:val="24"/>
          </w:rPr>
          <w:t>124E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Naturally derived delta-9-tetrahydrocannabinols in a U.S. Food and Drug Administration-approved product or in marijuana subject to a state medical marijuana license in accordance with Iowa Code chapter </w:t>
      </w:r>
      <w:hyperlink r:id="rId14">
        <w:r>
          <w:rPr>
            <w:rStyle w:val="Hyperlink"/>
            <w:rFonts w:ascii="Times New Roman" w:hAnsi="Times New Roman"/>
            <w:b w:val="false"/>
            <w:i w:val="false"/>
            <w:color w:val="000000"/>
            <w:sz w:val="24"/>
          </w:rPr>
          <w:t>124E</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Naturally derived delta-9-tetrahydrocannabinols means those delta-9-tetrahydrocannabinols, except as in paragraphs </w:t>
      </w:r>
      <w:hyperlink r:id="rId15">
        <w:r>
          <w:rPr>
            <w:rStyle w:val="Hyperlink"/>
            <w:rFonts w:ascii="Times New Roman" w:hAnsi="Times New Roman"/>
            <w:b w:val="false"/>
            <w:i w:val="false"/>
            <w:color w:val="000000"/>
            <w:sz w:val="24"/>
          </w:rPr>
          <w:t>553.13(6)</w:t>
        </w:r>
      </w:hyperlink>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that are naturally contained in a plant of the genus Cannabis (cannabis plant).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Naturally derived delta-9-tetrahydrocannabinols do not include any material, compound, mixture, or preparation that falls within the definition of hemp set forth in 7 U.S.C. §1639o.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Naturally derived delta-9-tetrahydrocannabinols do not include any delta-9-tetrahydrocannabinols contained in substances excluded from the definition of marijuana as set forth in Iowa Code section </w:t>
      </w:r>
      <w:hyperlink r:id="rId16">
        <w:r>
          <w:rPr>
            <w:rStyle w:val="Hyperlink"/>
            <w:rFonts w:ascii="Times New Roman" w:hAnsi="Times New Roman"/>
            <w:b w:val="false"/>
            <w:i w:val="false"/>
            <w:color w:val="000000"/>
            <w:sz w:val="24"/>
          </w:rPr>
          <w:t>124.101(20)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553.13(7)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Iowa Code section </w:t>
      </w:r>
      <w:hyperlink r:id="rId17">
        <w:r>
          <w:rPr>
            <w:rStyle w:val="Hyperlink"/>
            <w:rFonts w:ascii="Times New Roman" w:hAnsi="Times New Roman"/>
            <w:b w:val="false"/>
            <w:i w:val="false"/>
            <w:color w:val="000000"/>
            <w:sz w:val="24"/>
          </w:rPr>
          <w:t>124.210(3)</w:t>
        </w:r>
      </w:hyperlink>
      <w:r>
        <w:rPr>
          <w:rFonts w:ascii="Times New Roman" w:hAnsi="Times New Roman"/>
          <w:b w:val="false"/>
          <w:i w:val="false"/>
          <w:color w:val="000000"/>
          <w:sz w:val="24"/>
        </w:rPr>
        <w:t xml:space="preserve"> by adding the following new paragraph: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bi.</w:t>
      </w:r>
      <w:r>
        <w:rPr>
          <w:rFonts w:ascii="Times New Roman" w:hAnsi="Times New Roman"/>
          <w:b w:val="false"/>
          <w:i w:val="false"/>
          <w:color w:val="000000"/>
          <w:sz w:val="24"/>
        </w:rPr>
        <w:t>  </w:t>
      </w:r>
      <w:r>
        <w:rPr>
          <w:rFonts w:ascii="Times New Roman" w:hAnsi="Times New Roman"/>
          <w:b w:val="false"/>
          <w:i w:val="false"/>
          <w:color w:val="000000"/>
          <w:sz w:val="24"/>
        </w:rPr>
        <w:t>Cipepofol.</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remiah.junker@dia.iowa.gov" Type="http://schemas.openxmlformats.org/officeDocument/2006/relationships/hyperlink" Id="rId4"/>
    <Relationship TargetMode="External" Target="https://www.legis.iowa.gov/docs/ico/chapter/124.201A.pdf" Type="http://schemas.openxmlformats.org/officeDocument/2006/relationships/hyperlink" Id="rId5"/>
    <Relationship TargetMode="External" Target="https://www.legis.iowa.gov/docs/ico/chapter/124.204.pdf" Type="http://schemas.openxmlformats.org/officeDocument/2006/relationships/hyperlink" Id="rId6"/>
    <Relationship TargetMode="External" Target="https://www.legis.iowa.gov/docs/ico/chapter/124.204.pdf" Type="http://schemas.openxmlformats.org/officeDocument/2006/relationships/hyperlink" Id="rId7"/>
    <Relationship TargetMode="External" Target="https://www.legis.iowa.gov/docs/ico/chapter/124B.2.pdf" Type="http://schemas.openxmlformats.org/officeDocument/2006/relationships/hyperlink" Id="rId8"/>
    <Relationship TargetMode="External" Target="https://www.legis.iowa.gov/docs/ico/chapter/124.204.pdf" Type="http://schemas.openxmlformats.org/officeDocument/2006/relationships/hyperlink" Id="rId9"/>
    <Relationship TargetMode="External" Target="https://www.legis.iowa.gov/docs/ico/chapter/124.208.pdf" Type="http://schemas.openxmlformats.org/officeDocument/2006/relationships/hyperlink" Id="rId10"/>
    <Relationship TargetMode="External" Target="https://www.legis.iowa.gov/docs/ico/chapter/124.101.pdf" Type="http://schemas.openxmlformats.org/officeDocument/2006/relationships/hyperlink" Id="rId11"/>
    <Relationship TargetMode="External" Target="https://www.legis.iowa.gov/docs/ico/chapter/124E.pdf" Type="http://schemas.openxmlformats.org/officeDocument/2006/relationships/hyperlink" Id="rId12"/>
    <Relationship TargetMode="External" Target="https://www.legis.iowa.gov/docs/ico/chapter/124E.pdf" Type="http://schemas.openxmlformats.org/officeDocument/2006/relationships/hyperlink" Id="rId13"/>
    <Relationship TargetMode="External" Target="https://www.legis.iowa.gov/docs/ico/chapter/124E.pdf" Type="http://schemas.openxmlformats.org/officeDocument/2006/relationships/hyperlink" Id="rId14"/>
    <Relationship TargetMode="External" Target="https://www.legis.iowa.gov/docs/iac/rule/481.553.13.pdf" Type="http://schemas.openxmlformats.org/officeDocument/2006/relationships/hyperlink" Id="rId15"/>
    <Relationship TargetMode="External" Target="https://www.legis.iowa.gov/docs/ico/chapter/124.101.pdf" Type="http://schemas.openxmlformats.org/officeDocument/2006/relationships/hyperlink" Id="rId16"/>
    <Relationship TargetMode="External" Target="https://www.legis.iowa.gov/docs/ico/chapter/124.210.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